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20"/>
        <w:gridCol w:w="4500"/>
      </w:tblGrid>
      <w:tr w:rsidR="00FC2F16" w:rsidTr="00012F57">
        <w:trPr>
          <w:cantSplit/>
        </w:trPr>
        <w:tc>
          <w:tcPr>
            <w:tcW w:w="5120" w:type="dxa"/>
          </w:tcPr>
          <w:p w:rsidR="00FC2F16" w:rsidRDefault="00FC2F16" w:rsidP="00012F57">
            <w:pPr>
              <w:framePr w:w="10440" w:hSpace="180" w:vSpace="180" w:wrap="auto" w:hAnchor="margin" w:x="-200" w:yAlign="top"/>
              <w:jc w:val="center"/>
              <w:rPr>
                <w:rFonts w:ascii="New Century Schlbk" w:hAnsi="New Century Schlbk"/>
                <w:b/>
                <w:i/>
                <w:sz w:val="48"/>
              </w:rPr>
            </w:pPr>
            <w:r>
              <w:rPr>
                <w:noProof/>
              </w:rPr>
              <w:drawing>
                <wp:inline distT="0" distB="0" distL="0" distR="0" wp14:anchorId="28EF1B5C" wp14:editId="77F96346">
                  <wp:extent cx="3143250" cy="657225"/>
                  <wp:effectExtent l="19050" t="0" r="0" b="0"/>
                  <wp:docPr id="2" name="Picture 1" descr="Design&amp;Construction-outline-539+874-Facilities-t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ign&amp;Construction-outline-539+874-Facilities-t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FC2F16" w:rsidRPr="001C7F3D" w:rsidRDefault="00FC2F16" w:rsidP="00012F57">
            <w:pPr>
              <w:framePr w:w="10440" w:hSpace="180" w:vSpace="180" w:wrap="auto" w:hAnchor="margin" w:x="-200" w:yAlign="top"/>
              <w:ind w:left="1340"/>
              <w:jc w:val="right"/>
              <w:rPr>
                <w:rFonts w:ascii="New Century Schlbk" w:hAnsi="New Century Schlbk"/>
                <w:sz w:val="18"/>
              </w:rPr>
            </w:pPr>
          </w:p>
          <w:p w:rsidR="00FC2F16" w:rsidRDefault="00FC2F16" w:rsidP="00012F57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 xml:space="preserve"> </w:t>
            </w:r>
          </w:p>
          <w:p w:rsidR="00FC2F16" w:rsidRDefault="00FC2F16" w:rsidP="00012F57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 xml:space="preserve"> </w:t>
            </w:r>
          </w:p>
          <w:p w:rsidR="00FC2F16" w:rsidRDefault="00FC2F16" w:rsidP="00012F57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>151 Sixth St., NW</w:t>
            </w:r>
          </w:p>
          <w:p w:rsidR="00FC2F16" w:rsidRPr="001C7F3D" w:rsidRDefault="00FC2F16" w:rsidP="00012F57">
            <w:pPr>
              <w:pStyle w:val="Heading2"/>
              <w:framePr w:wrap="auto" w:x="-200"/>
              <w:rPr>
                <w:sz w:val="18"/>
              </w:rPr>
            </w:pPr>
            <w:r>
              <w:rPr>
                <w:sz w:val="18"/>
              </w:rPr>
              <w:t>Atlanta, Georgia 30332-0410</w:t>
            </w:r>
          </w:p>
        </w:tc>
      </w:tr>
    </w:tbl>
    <w:p w:rsidR="00D127AE" w:rsidRDefault="00D127AE" w:rsidP="00335A7D">
      <w:pPr>
        <w:rPr>
          <w:rFonts w:ascii="Times New Roman" w:hAnsi="Times New Roman" w:cs="Times New Roman"/>
          <w:bCs/>
        </w:rPr>
      </w:pPr>
    </w:p>
    <w:p w:rsidR="00376C77" w:rsidRDefault="00376C77" w:rsidP="00376C77">
      <w:pPr>
        <w:spacing w:before="4"/>
        <w:rPr>
          <w:rFonts w:ascii="Times New Roman" w:eastAsia="Times New Roman" w:hAnsi="Times New Roman" w:cs="Times New Roman"/>
          <w:sz w:val="20"/>
          <w:szCs w:val="20"/>
        </w:rPr>
      </w:pPr>
    </w:p>
    <w:p w:rsidR="00376C77" w:rsidRDefault="00376C77" w:rsidP="00376C77">
      <w:pPr>
        <w:pStyle w:val="BodyText"/>
        <w:spacing w:before="80"/>
        <w:ind w:left="0" w:right="310"/>
      </w:pPr>
      <w:r>
        <w:rPr>
          <w:spacing w:val="-1"/>
        </w:rPr>
        <w:t xml:space="preserve">DATE: </w:t>
      </w:r>
      <w:r>
        <w:rPr>
          <w:spacing w:val="-1"/>
        </w:rPr>
        <w:tab/>
      </w:r>
      <w:r>
        <w:rPr>
          <w:spacing w:val="-1"/>
        </w:rPr>
        <w:tab/>
      </w:r>
      <w:r w:rsidR="00692A4E">
        <w:rPr>
          <w:spacing w:val="-1"/>
        </w:rPr>
        <w:t>October 18</w:t>
      </w:r>
      <w:r>
        <w:rPr>
          <w:spacing w:val="-1"/>
        </w:rPr>
        <w:t>, 2018</w:t>
      </w:r>
    </w:p>
    <w:p w:rsidR="00376C77" w:rsidRDefault="00CC7ABC" w:rsidP="00376C77">
      <w:pPr>
        <w:spacing w:before="9"/>
        <w:rPr>
          <w:rFonts w:ascii="Arial" w:eastAsia="Arial" w:hAnsi="Arial" w:cs="Arial"/>
          <w:sz w:val="21"/>
          <w:szCs w:val="21"/>
        </w:rPr>
      </w:pPr>
      <w:r>
        <w:rPr>
          <w:noProof/>
          <w:spacing w:val="-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3879215</wp:posOffset>
            </wp:positionH>
            <wp:positionV relativeFrom="paragraph">
              <wp:posOffset>40640</wp:posOffset>
            </wp:positionV>
            <wp:extent cx="1678305" cy="407035"/>
            <wp:effectExtent l="19050" t="57150" r="17145" b="501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 Signatur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740"/>
                    <a:stretch/>
                  </pic:blipFill>
                  <pic:spPr bwMode="auto">
                    <a:xfrm rot="21428956">
                      <a:off x="0" y="0"/>
                      <a:ext cx="1678305" cy="407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C77" w:rsidRDefault="00376C77" w:rsidP="00376C77">
      <w:pPr>
        <w:pStyle w:val="BodyText"/>
        <w:ind w:left="0" w:right="310"/>
        <w:rPr>
          <w:spacing w:val="-1"/>
        </w:rPr>
      </w:pPr>
      <w:bookmarkStart w:id="0" w:name="FROM:_Spencer_Sheffield,_Project_Manager"/>
      <w:bookmarkEnd w:id="0"/>
      <w:r w:rsidRPr="006043A1">
        <w:rPr>
          <w:spacing w:val="-1"/>
        </w:rPr>
        <w:t>FROM:</w:t>
      </w:r>
      <w:r w:rsidRPr="006043A1">
        <w:rPr>
          <w:spacing w:val="-1"/>
        </w:rPr>
        <w:tab/>
      </w:r>
      <w:r>
        <w:rPr>
          <w:spacing w:val="-1"/>
        </w:rPr>
        <w:tab/>
      </w:r>
      <w:r w:rsidRPr="006043A1">
        <w:rPr>
          <w:spacing w:val="-1"/>
        </w:rPr>
        <w:t>Lindsey Cottingham,</w:t>
      </w:r>
      <w:r w:rsidRPr="006043A1">
        <w:t xml:space="preserve"> Senior </w:t>
      </w:r>
      <w:r w:rsidRPr="006043A1">
        <w:rPr>
          <w:spacing w:val="-1"/>
        </w:rPr>
        <w:t>Project</w:t>
      </w:r>
      <w:r w:rsidRPr="006043A1">
        <w:rPr>
          <w:spacing w:val="20"/>
        </w:rPr>
        <w:t xml:space="preserve"> </w:t>
      </w:r>
      <w:r w:rsidRPr="006043A1">
        <w:rPr>
          <w:spacing w:val="-1"/>
        </w:rPr>
        <w:t>Manager</w:t>
      </w:r>
      <w:r w:rsidR="0083202F">
        <w:rPr>
          <w:spacing w:val="-1"/>
        </w:rPr>
        <w:t xml:space="preserve">  </w:t>
      </w:r>
    </w:p>
    <w:p w:rsidR="00376C77" w:rsidRDefault="00376C77" w:rsidP="00376C77">
      <w:pPr>
        <w:pStyle w:val="BodyText"/>
        <w:ind w:left="0" w:right="310"/>
        <w:rPr>
          <w:spacing w:val="-1"/>
        </w:rPr>
      </w:pPr>
    </w:p>
    <w:p w:rsidR="00376C77" w:rsidRDefault="00376C77" w:rsidP="00CC7ABC">
      <w:pPr>
        <w:pStyle w:val="BodyText"/>
        <w:tabs>
          <w:tab w:val="left" w:pos="6390"/>
        </w:tabs>
        <w:ind w:left="1440" w:right="1440" w:hanging="1440"/>
        <w:rPr>
          <w:spacing w:val="-1"/>
        </w:rPr>
      </w:pPr>
      <w:r>
        <w:rPr>
          <w:spacing w:val="-1"/>
        </w:rPr>
        <w:t xml:space="preserve">THRU: </w:t>
      </w:r>
      <w:r>
        <w:rPr>
          <w:spacing w:val="-1"/>
        </w:rPr>
        <w:tab/>
        <w:t>Scott J</w:t>
      </w:r>
      <w:r w:rsidR="00F60345">
        <w:rPr>
          <w:spacing w:val="-1"/>
        </w:rPr>
        <w:t xml:space="preserve">ones, AVP Facilities Design and </w:t>
      </w:r>
      <w:r w:rsidR="00CC7ABC">
        <w:rPr>
          <w:spacing w:val="-1"/>
        </w:rPr>
        <w:t>Construction (_______)</w:t>
      </w:r>
    </w:p>
    <w:p w:rsidR="00376C77" w:rsidRDefault="00376C77" w:rsidP="00376C77">
      <w:pPr>
        <w:pStyle w:val="BodyText"/>
        <w:ind w:left="0" w:right="310"/>
      </w:pPr>
    </w:p>
    <w:p w:rsidR="00CC7ABC" w:rsidRDefault="00376C77" w:rsidP="00CC7ABC">
      <w:pPr>
        <w:pStyle w:val="BodyText"/>
        <w:tabs>
          <w:tab w:val="left" w:pos="6390"/>
        </w:tabs>
        <w:ind w:left="1440" w:right="-90" w:hanging="1440"/>
        <w:rPr>
          <w:spacing w:val="-1"/>
        </w:rPr>
      </w:pPr>
      <w:r>
        <w:rPr>
          <w:spacing w:val="-1"/>
        </w:rPr>
        <w:tab/>
        <w:t xml:space="preserve">Kim Wilson, AD Facilities Design and </w:t>
      </w:r>
      <w:r w:rsidR="00CC7ABC">
        <w:rPr>
          <w:spacing w:val="-1"/>
        </w:rPr>
        <w:t>Construction (_______)</w:t>
      </w:r>
    </w:p>
    <w:p w:rsidR="00376C77" w:rsidRDefault="00376C77" w:rsidP="00376C77">
      <w:pPr>
        <w:pStyle w:val="BodyText"/>
        <w:ind w:left="0" w:right="310"/>
        <w:rPr>
          <w:spacing w:val="-1"/>
        </w:rPr>
      </w:pPr>
    </w:p>
    <w:p w:rsidR="00376C77" w:rsidRDefault="00376C77" w:rsidP="00376C77">
      <w:pPr>
        <w:pStyle w:val="BodyText"/>
        <w:ind w:left="0" w:right="310"/>
        <w:rPr>
          <w:spacing w:val="-1"/>
        </w:rPr>
      </w:pPr>
      <w:r>
        <w:rPr>
          <w:spacing w:val="-1"/>
        </w:rPr>
        <w:t>TO:</w:t>
      </w:r>
      <w:r>
        <w:rPr>
          <w:spacing w:val="-1"/>
        </w:rPr>
        <w:tab/>
      </w:r>
      <w:r>
        <w:rPr>
          <w:spacing w:val="-1"/>
        </w:rPr>
        <w:tab/>
        <w:t>Aisha Oliver-Stanley, Executive Director for Georgia Tech Facilities, Inc.</w:t>
      </w:r>
    </w:p>
    <w:p w:rsidR="00376C77" w:rsidRDefault="00376C77" w:rsidP="00376C77">
      <w:pPr>
        <w:pStyle w:val="BodyText"/>
        <w:tabs>
          <w:tab w:val="left" w:pos="1170"/>
        </w:tabs>
        <w:ind w:left="0" w:right="3110" w:hanging="1080"/>
      </w:pPr>
      <w:r>
        <w:t xml:space="preserve"> </w:t>
      </w:r>
    </w:p>
    <w:p w:rsidR="00376C77" w:rsidRDefault="00376C77" w:rsidP="00376C77">
      <w:pPr>
        <w:pStyle w:val="BodyText"/>
        <w:spacing w:line="252" w:lineRule="exact"/>
        <w:ind w:left="0" w:right="310"/>
        <w:rPr>
          <w:spacing w:val="-1"/>
        </w:rPr>
      </w:pPr>
      <w:r>
        <w:rPr>
          <w:spacing w:val="-1"/>
        </w:rPr>
        <w:t>RE</w:t>
      </w:r>
      <w:r w:rsidR="00CF7B65">
        <w:rPr>
          <w:spacing w:val="-1"/>
        </w:rPr>
        <w:t>:</w:t>
      </w:r>
      <w:r w:rsidR="00CF7B65">
        <w:rPr>
          <w:spacing w:val="-1"/>
        </w:rPr>
        <w:tab/>
      </w:r>
      <w:r w:rsidR="00CF7B65">
        <w:rPr>
          <w:spacing w:val="-1"/>
        </w:rPr>
        <w:tab/>
        <w:t>GTRI Cobb South</w:t>
      </w:r>
      <w:r>
        <w:rPr>
          <w:spacing w:val="-1"/>
        </w:rPr>
        <w:t xml:space="preserve"> Campus (GT Project # C0306-2018)</w:t>
      </w:r>
    </w:p>
    <w:p w:rsidR="00F60345" w:rsidRPr="00F60345" w:rsidRDefault="005F13AF" w:rsidP="00F60345">
      <w:pPr>
        <w:pStyle w:val="BodyText"/>
        <w:tabs>
          <w:tab w:val="left" w:pos="1170"/>
        </w:tabs>
        <w:spacing w:line="252" w:lineRule="exact"/>
        <w:ind w:left="1440" w:right="310"/>
        <w:rPr>
          <w:spacing w:val="-1"/>
        </w:rPr>
      </w:pPr>
      <w:r>
        <w:rPr>
          <w:spacing w:val="-1"/>
        </w:rPr>
        <w:t>Burns + McDonnell</w:t>
      </w:r>
    </w:p>
    <w:p w:rsidR="00376C77" w:rsidRPr="00376C77" w:rsidRDefault="005F13AF" w:rsidP="00F60345">
      <w:pPr>
        <w:pStyle w:val="BodyText"/>
        <w:tabs>
          <w:tab w:val="left" w:pos="1170"/>
        </w:tabs>
        <w:spacing w:line="252" w:lineRule="exact"/>
        <w:ind w:left="1440" w:right="310"/>
      </w:pPr>
      <w:r>
        <w:rPr>
          <w:spacing w:val="-1"/>
        </w:rPr>
        <w:t>(Contract # GTF-17-12</w:t>
      </w:r>
      <w:r w:rsidR="00F60345" w:rsidRPr="00F60345">
        <w:rPr>
          <w:spacing w:val="-1"/>
        </w:rPr>
        <w:t xml:space="preserve">)   </w:t>
      </w:r>
    </w:p>
    <w:p w:rsidR="003E437D" w:rsidRPr="00376C77" w:rsidRDefault="003E437D" w:rsidP="00376C77">
      <w:pPr>
        <w:rPr>
          <w:rFonts w:ascii="Arial" w:hAnsi="Arial" w:cs="Arial"/>
        </w:rPr>
      </w:pPr>
    </w:p>
    <w:p w:rsidR="00376C77" w:rsidRDefault="005F13AF" w:rsidP="00376C77">
      <w:pPr>
        <w:rPr>
          <w:rFonts w:ascii="Arial" w:hAnsi="Arial" w:cs="Arial"/>
        </w:rPr>
      </w:pPr>
      <w:r>
        <w:rPr>
          <w:rFonts w:ascii="Arial" w:hAnsi="Arial" w:cs="Arial"/>
        </w:rPr>
        <w:t>Attached is a copy of Amendment No. 4</w:t>
      </w:r>
      <w:r w:rsidR="00376C77">
        <w:rPr>
          <w:rFonts w:ascii="Arial" w:hAnsi="Arial" w:cs="Arial"/>
        </w:rPr>
        <w:t xml:space="preserve"> for the </w:t>
      </w:r>
      <w:r>
        <w:rPr>
          <w:rFonts w:ascii="Arial" w:hAnsi="Arial" w:cs="Arial"/>
        </w:rPr>
        <w:t>c</w:t>
      </w:r>
      <w:r w:rsidR="00CF7B65">
        <w:rPr>
          <w:rFonts w:ascii="Arial" w:hAnsi="Arial" w:cs="Arial"/>
        </w:rPr>
        <w:t>o</w:t>
      </w:r>
      <w:r w:rsidR="00376C77">
        <w:rPr>
          <w:rFonts w:ascii="Arial" w:hAnsi="Arial" w:cs="Arial"/>
        </w:rPr>
        <w:t>ntract between G</w:t>
      </w:r>
      <w:r>
        <w:rPr>
          <w:rFonts w:ascii="Arial" w:hAnsi="Arial" w:cs="Arial"/>
        </w:rPr>
        <w:t>eorgia Institute of Technology</w:t>
      </w:r>
      <w:r w:rsidR="00376C77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Burns + McDonnell</w:t>
      </w:r>
      <w:r w:rsidR="000D7505">
        <w:rPr>
          <w:rFonts w:ascii="Arial" w:hAnsi="Arial" w:cs="Arial"/>
        </w:rPr>
        <w:t xml:space="preserve"> which</w:t>
      </w:r>
      <w:r w:rsidR="00376C77">
        <w:rPr>
          <w:rFonts w:ascii="Arial" w:hAnsi="Arial" w:cs="Arial"/>
        </w:rPr>
        <w:t xml:space="preserve"> </w:t>
      </w:r>
      <w:r w:rsidR="00F60345">
        <w:rPr>
          <w:rFonts w:ascii="Arial" w:hAnsi="Arial" w:cs="Arial"/>
        </w:rPr>
        <w:t>includes</w:t>
      </w:r>
      <w:r w:rsidR="00CF7B65">
        <w:rPr>
          <w:rFonts w:ascii="Arial" w:hAnsi="Arial" w:cs="Arial"/>
        </w:rPr>
        <w:t xml:space="preserve"> the following</w:t>
      </w:r>
      <w:r w:rsidR="00376C77">
        <w:rPr>
          <w:rFonts w:ascii="Arial" w:hAnsi="Arial" w:cs="Arial"/>
        </w:rPr>
        <w:t>:</w:t>
      </w:r>
    </w:p>
    <w:p w:rsidR="00376C77" w:rsidRDefault="00376C77" w:rsidP="00376C77">
      <w:pPr>
        <w:rPr>
          <w:rFonts w:ascii="Arial" w:hAnsi="Arial" w:cs="Arial"/>
        </w:rPr>
      </w:pPr>
    </w:p>
    <w:p w:rsidR="00012F57" w:rsidRPr="00E63F16" w:rsidRDefault="00012F57" w:rsidP="00012F57">
      <w:pPr>
        <w:pStyle w:val="BodyText"/>
        <w:numPr>
          <w:ilvl w:val="0"/>
          <w:numId w:val="3"/>
        </w:numPr>
        <w:kinsoku w:val="0"/>
        <w:overflowPunct w:val="0"/>
      </w:pPr>
      <w:r>
        <w:t xml:space="preserve">Revised Transformer Location Plans: </w:t>
      </w:r>
      <w:r w:rsidRPr="00E63F16">
        <w:rPr>
          <w:b/>
        </w:rPr>
        <w:t>$1,814.00</w:t>
      </w:r>
    </w:p>
    <w:p w:rsidR="00805C9E" w:rsidRDefault="00D005AC" w:rsidP="00012F57">
      <w:pPr>
        <w:pStyle w:val="BodyText"/>
        <w:numPr>
          <w:ilvl w:val="1"/>
          <w:numId w:val="3"/>
        </w:numPr>
        <w:kinsoku w:val="0"/>
        <w:overflowPunct w:val="0"/>
        <w:ind w:right="99"/>
        <w:jc w:val="both"/>
      </w:pPr>
      <w:r>
        <w:t>Revising the location of the transform</w:t>
      </w:r>
      <w:r w:rsidR="00692A4E">
        <w:t xml:space="preserve">er pads for the L-12 building. </w:t>
      </w:r>
      <w:r>
        <w:t xml:space="preserve">Revisions </w:t>
      </w:r>
      <w:r w:rsidR="00F0222A">
        <w:t>are</w:t>
      </w:r>
      <w:r>
        <w:t xml:space="preserve"> required due </w:t>
      </w:r>
      <w:r w:rsidR="00805C9E">
        <w:t>to unforeseen underground utility conflicts</w:t>
      </w:r>
      <w:r>
        <w:t xml:space="preserve"> </w:t>
      </w:r>
      <w:r w:rsidR="00692A4E">
        <w:t>that were discovered after the construction</w:t>
      </w:r>
      <w:r>
        <w:t xml:space="preserve"> documents were completed</w:t>
      </w:r>
      <w:r w:rsidR="00805C9E">
        <w:t>.</w:t>
      </w:r>
      <w:r>
        <w:t xml:space="preserve"> </w:t>
      </w:r>
      <w:r w:rsidR="00805C9E">
        <w:t xml:space="preserve">Additional services will include </w:t>
      </w:r>
      <w:r w:rsidR="00F0222A">
        <w:t xml:space="preserve">a </w:t>
      </w:r>
      <w:r>
        <w:t>detailed drawing depicting the revised transformer locations</w:t>
      </w:r>
      <w:r w:rsidR="00F0222A">
        <w:t>, checking transformer locations do not interfere with truck turning radiuses</w:t>
      </w:r>
      <w:r>
        <w:t xml:space="preserve"> and preparation of </w:t>
      </w:r>
      <w:r w:rsidR="00E63F16">
        <w:t>transfor</w:t>
      </w:r>
      <w:bookmarkStart w:id="1" w:name="_GoBack"/>
      <w:bookmarkEnd w:id="1"/>
      <w:r w:rsidR="00E63F16">
        <w:t xml:space="preserve">mer drawings for </w:t>
      </w:r>
      <w:r>
        <w:t xml:space="preserve">coordination with </w:t>
      </w:r>
      <w:r w:rsidR="00E63F16">
        <w:t>Georgia Power and McCarthy</w:t>
      </w:r>
      <w:r w:rsidR="00805C9E">
        <w:t>.</w:t>
      </w:r>
    </w:p>
    <w:p w:rsidR="00805C9E" w:rsidRDefault="00805C9E" w:rsidP="00805C9E">
      <w:pPr>
        <w:pStyle w:val="BodyText"/>
        <w:kinsoku w:val="0"/>
        <w:overflowPunct w:val="0"/>
        <w:ind w:left="1440" w:right="99"/>
        <w:jc w:val="both"/>
      </w:pPr>
    </w:p>
    <w:p w:rsidR="00012F57" w:rsidRDefault="00012F57" w:rsidP="00012F57">
      <w:pPr>
        <w:pStyle w:val="BodyText"/>
        <w:numPr>
          <w:ilvl w:val="0"/>
          <w:numId w:val="3"/>
        </w:numPr>
        <w:kinsoku w:val="0"/>
        <w:overflowPunct w:val="0"/>
      </w:pPr>
      <w:r>
        <w:t xml:space="preserve">L-12 Grading Plan: </w:t>
      </w:r>
      <w:r w:rsidRPr="00E63F16">
        <w:rPr>
          <w:b/>
        </w:rPr>
        <w:t>$3,872.00</w:t>
      </w:r>
    </w:p>
    <w:p w:rsidR="00E63F16" w:rsidRPr="00E63F16" w:rsidRDefault="00D005AC" w:rsidP="00012F57">
      <w:pPr>
        <w:pStyle w:val="BodyText"/>
        <w:numPr>
          <w:ilvl w:val="1"/>
          <w:numId w:val="3"/>
        </w:numPr>
        <w:kinsoku w:val="0"/>
        <w:overflowPunct w:val="0"/>
        <w:ind w:right="99"/>
        <w:jc w:val="both"/>
      </w:pPr>
      <w:r>
        <w:t xml:space="preserve">Preparation of revised grading </w:t>
      </w:r>
      <w:r w:rsidR="00E63F16">
        <w:t>plan for the new building entrances along the north side of L12</w:t>
      </w:r>
      <w:r w:rsidR="00805C9E">
        <w:t xml:space="preserve"> to provide vehicle access and ramps to service building L12</w:t>
      </w:r>
      <w:r w:rsidR="00E63F16">
        <w:t>.</w:t>
      </w:r>
      <w:r w:rsidR="00F66FBB">
        <w:t xml:space="preserve"> </w:t>
      </w:r>
      <w:r w:rsidR="00BA09CD">
        <w:t>The</w:t>
      </w:r>
      <w:r w:rsidR="00692A4E">
        <w:t>se design</w:t>
      </w:r>
      <w:r w:rsidR="00BA09CD">
        <w:t xml:space="preserve"> services are required </w:t>
      </w:r>
      <w:r>
        <w:t xml:space="preserve">due to entrance locations shifting from the locations shown on the </w:t>
      </w:r>
      <w:r w:rsidR="00012F57">
        <w:t>bridging</w:t>
      </w:r>
      <w:r>
        <w:t xml:space="preserve"> documents and to provide accessibility for GTRI to the relocated rollup doors.    </w:t>
      </w:r>
    </w:p>
    <w:p w:rsidR="00AA0E93" w:rsidRDefault="00AA0E93" w:rsidP="00AA0E93">
      <w:pPr>
        <w:pStyle w:val="BodyText"/>
        <w:kinsoku w:val="0"/>
        <w:overflowPunct w:val="0"/>
        <w:ind w:left="720"/>
      </w:pPr>
    </w:p>
    <w:p w:rsidR="00E63F16" w:rsidRDefault="00805C9E" w:rsidP="00E63F16">
      <w:pPr>
        <w:pStyle w:val="BodyText"/>
        <w:numPr>
          <w:ilvl w:val="0"/>
          <w:numId w:val="3"/>
        </w:numPr>
        <w:kinsoku w:val="0"/>
        <w:overflowPunct w:val="0"/>
      </w:pPr>
      <w:r>
        <w:t>Burns + McDonnell</w:t>
      </w:r>
      <w:r w:rsidR="00E63F16">
        <w:t xml:space="preserve"> will complete the </w:t>
      </w:r>
      <w:r w:rsidR="00012F57">
        <w:t xml:space="preserve">above-listed </w:t>
      </w:r>
      <w:r w:rsidR="00E63F16">
        <w:t>services within two-week</w:t>
      </w:r>
      <w:r w:rsidR="00F0222A">
        <w:t>s of NTP.</w:t>
      </w:r>
    </w:p>
    <w:p w:rsidR="00312180" w:rsidRDefault="00312180" w:rsidP="00312180">
      <w:pPr>
        <w:rPr>
          <w:rFonts w:ascii="Arial" w:hAnsi="Arial" w:cs="Arial"/>
        </w:rPr>
      </w:pPr>
    </w:p>
    <w:p w:rsidR="00CC7ABC" w:rsidRDefault="000D6742" w:rsidP="00312180">
      <w:pPr>
        <w:rPr>
          <w:rFonts w:ascii="Arial" w:hAnsi="Arial" w:cs="Arial"/>
          <w:b/>
        </w:rPr>
      </w:pPr>
      <w:r>
        <w:rPr>
          <w:rFonts w:ascii="Arial" w:hAnsi="Arial" w:cs="Arial"/>
        </w:rPr>
        <w:t>The</w:t>
      </w:r>
      <w:r w:rsidR="00CC7ABC">
        <w:rPr>
          <w:rFonts w:ascii="Arial" w:hAnsi="Arial" w:cs="Arial"/>
        </w:rPr>
        <w:t xml:space="preserve"> cost associated with the above</w:t>
      </w:r>
      <w:r w:rsidR="00012F57">
        <w:rPr>
          <w:rFonts w:ascii="Arial" w:hAnsi="Arial" w:cs="Arial"/>
        </w:rPr>
        <w:t>-listed</w:t>
      </w:r>
      <w:r w:rsidR="00CC7ABC">
        <w:rPr>
          <w:rFonts w:ascii="Arial" w:hAnsi="Arial" w:cs="Arial"/>
        </w:rPr>
        <w:t xml:space="preserve"> services </w:t>
      </w:r>
      <w:r w:rsidR="00012F57">
        <w:rPr>
          <w:rFonts w:ascii="Arial" w:hAnsi="Arial" w:cs="Arial"/>
        </w:rPr>
        <w:t>totals</w:t>
      </w:r>
      <w:r w:rsidR="00CC7ABC">
        <w:rPr>
          <w:rFonts w:ascii="Arial" w:hAnsi="Arial" w:cs="Arial"/>
        </w:rPr>
        <w:t xml:space="preserve"> </w:t>
      </w:r>
      <w:r w:rsidR="00CC7ABC" w:rsidRPr="00E63F16">
        <w:rPr>
          <w:rFonts w:ascii="Arial" w:hAnsi="Arial" w:cs="Arial"/>
          <w:b/>
        </w:rPr>
        <w:t>$5,686.00</w:t>
      </w:r>
      <w:r w:rsidR="00CC7ABC">
        <w:rPr>
          <w:rFonts w:ascii="Arial" w:hAnsi="Arial" w:cs="Arial"/>
          <w:b/>
        </w:rPr>
        <w:t>.</w:t>
      </w:r>
      <w:r w:rsidR="00F0222A">
        <w:rPr>
          <w:rFonts w:ascii="Arial" w:hAnsi="Arial" w:cs="Arial"/>
          <w:b/>
        </w:rPr>
        <w:t xml:space="preserve"> Will be taken from Owner’s Contingency. </w:t>
      </w:r>
    </w:p>
    <w:p w:rsidR="00CC7ABC" w:rsidRDefault="00CC7ABC" w:rsidP="00312180">
      <w:pPr>
        <w:rPr>
          <w:rFonts w:ascii="Arial" w:hAnsi="Arial" w:cs="Arial"/>
        </w:rPr>
      </w:pPr>
    </w:p>
    <w:p w:rsidR="000D6742" w:rsidRDefault="00CC7ABC" w:rsidP="00312180">
      <w:pPr>
        <w:rPr>
          <w:rFonts w:ascii="Arial" w:hAnsi="Arial" w:cs="Arial"/>
        </w:rPr>
      </w:pPr>
      <w:r>
        <w:rPr>
          <w:rFonts w:ascii="Arial" w:hAnsi="Arial" w:cs="Arial"/>
        </w:rPr>
        <w:t>Thes</w:t>
      </w:r>
      <w:r w:rsidR="000D6742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change orders were executed by the Project Executive, per the DMSA.  The attached executed contract is for your records. </w:t>
      </w:r>
    </w:p>
    <w:p w:rsidR="00692A4E" w:rsidRDefault="00692A4E" w:rsidP="00312180">
      <w:pPr>
        <w:rPr>
          <w:rFonts w:ascii="Arial" w:hAnsi="Arial" w:cs="Arial"/>
        </w:rPr>
      </w:pPr>
    </w:p>
    <w:p w:rsidR="00692A4E" w:rsidRDefault="00692A4E" w:rsidP="00312180">
      <w:pPr>
        <w:rPr>
          <w:rFonts w:ascii="Arial" w:hAnsi="Arial" w:cs="Arial"/>
        </w:rPr>
      </w:pPr>
      <w:r w:rsidRPr="00692A4E">
        <w:rPr>
          <w:rFonts w:ascii="Arial" w:hAnsi="Arial" w:cs="Arial"/>
        </w:rPr>
        <w:t>A Certificate of Insurance confirmed to comply with GTFI minimum insurance requirements has been previously submitted</w:t>
      </w:r>
      <w:r>
        <w:rPr>
          <w:rFonts w:ascii="Arial" w:hAnsi="Arial" w:cs="Arial"/>
        </w:rPr>
        <w:t>.</w:t>
      </w:r>
    </w:p>
    <w:p w:rsidR="008B13E0" w:rsidRDefault="008B13E0" w:rsidP="00312180">
      <w:pPr>
        <w:rPr>
          <w:rFonts w:ascii="Arial" w:hAnsi="Arial" w:cs="Arial"/>
        </w:rPr>
      </w:pPr>
    </w:p>
    <w:p w:rsidR="00F54FB4" w:rsidRDefault="008B13E0" w:rsidP="003121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Enclosures:  </w:t>
      </w:r>
      <w:r w:rsidR="00E63F16" w:rsidRPr="00E63F16">
        <w:rPr>
          <w:rFonts w:ascii="Arial" w:hAnsi="Arial" w:cs="Arial"/>
        </w:rPr>
        <w:t>181011_B+McD_GTRI_Amendment 4_Rev. Transformer Plan_L12 Grading</w:t>
      </w:r>
    </w:p>
    <w:p w:rsidR="00E63F16" w:rsidRDefault="00E63F16" w:rsidP="00312180">
      <w:pPr>
        <w:rPr>
          <w:rFonts w:ascii="Arial" w:hAnsi="Arial" w:cs="Arial"/>
        </w:rPr>
      </w:pPr>
    </w:p>
    <w:p w:rsidR="00E63F16" w:rsidRDefault="00E63F16" w:rsidP="00312180">
      <w:pPr>
        <w:rPr>
          <w:rFonts w:ascii="Arial" w:hAnsi="Arial" w:cs="Arial"/>
        </w:rPr>
      </w:pPr>
    </w:p>
    <w:p w:rsidR="008B13E0" w:rsidRDefault="008B13E0" w:rsidP="00312180">
      <w:pPr>
        <w:rPr>
          <w:rFonts w:ascii="Arial" w:hAnsi="Arial" w:cs="Arial"/>
        </w:rPr>
      </w:pPr>
      <w:r>
        <w:rPr>
          <w:rFonts w:ascii="Arial" w:hAnsi="Arial" w:cs="Arial"/>
        </w:rPr>
        <w:t>CC:</w:t>
      </w:r>
      <w:r>
        <w:rPr>
          <w:rFonts w:ascii="Arial" w:hAnsi="Arial" w:cs="Arial"/>
        </w:rPr>
        <w:tab/>
        <w:t>Project File</w:t>
      </w:r>
    </w:p>
    <w:sectPr w:rsidR="008B13E0" w:rsidSect="00FC2F16">
      <w:pgSz w:w="12240" w:h="15840"/>
      <w:pgMar w:top="81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Century Schlb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40AF"/>
    <w:multiLevelType w:val="hybridMultilevel"/>
    <w:tmpl w:val="6CDE0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20DFC"/>
    <w:multiLevelType w:val="hybridMultilevel"/>
    <w:tmpl w:val="4008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74D6A"/>
    <w:multiLevelType w:val="hybridMultilevel"/>
    <w:tmpl w:val="413E4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7D"/>
    <w:rsid w:val="00012F57"/>
    <w:rsid w:val="00061181"/>
    <w:rsid w:val="000D0A1F"/>
    <w:rsid w:val="000D6742"/>
    <w:rsid w:val="000D7505"/>
    <w:rsid w:val="0017784E"/>
    <w:rsid w:val="001860D2"/>
    <w:rsid w:val="001B2E15"/>
    <w:rsid w:val="00260435"/>
    <w:rsid w:val="0029248E"/>
    <w:rsid w:val="002C19B1"/>
    <w:rsid w:val="00307A61"/>
    <w:rsid w:val="00312180"/>
    <w:rsid w:val="00335A7D"/>
    <w:rsid w:val="00356515"/>
    <w:rsid w:val="00365F7A"/>
    <w:rsid w:val="00376C77"/>
    <w:rsid w:val="003D3891"/>
    <w:rsid w:val="003E437D"/>
    <w:rsid w:val="00463A49"/>
    <w:rsid w:val="00464E19"/>
    <w:rsid w:val="004A1832"/>
    <w:rsid w:val="005514FF"/>
    <w:rsid w:val="005F13AF"/>
    <w:rsid w:val="005F3C55"/>
    <w:rsid w:val="0060163E"/>
    <w:rsid w:val="0061329D"/>
    <w:rsid w:val="00644E02"/>
    <w:rsid w:val="006655C6"/>
    <w:rsid w:val="00692A4E"/>
    <w:rsid w:val="006D6537"/>
    <w:rsid w:val="0074454F"/>
    <w:rsid w:val="0075011A"/>
    <w:rsid w:val="00782A50"/>
    <w:rsid w:val="00805C9E"/>
    <w:rsid w:val="0083202F"/>
    <w:rsid w:val="008B13E0"/>
    <w:rsid w:val="00932E29"/>
    <w:rsid w:val="009649E3"/>
    <w:rsid w:val="009748BA"/>
    <w:rsid w:val="00A15B20"/>
    <w:rsid w:val="00A80D02"/>
    <w:rsid w:val="00AA0E93"/>
    <w:rsid w:val="00BA09CD"/>
    <w:rsid w:val="00BD51B5"/>
    <w:rsid w:val="00C03AB5"/>
    <w:rsid w:val="00C86926"/>
    <w:rsid w:val="00CA5936"/>
    <w:rsid w:val="00CC7ABC"/>
    <w:rsid w:val="00CF7B65"/>
    <w:rsid w:val="00D005AC"/>
    <w:rsid w:val="00D033DF"/>
    <w:rsid w:val="00D127AE"/>
    <w:rsid w:val="00E167AE"/>
    <w:rsid w:val="00E63F16"/>
    <w:rsid w:val="00F0222A"/>
    <w:rsid w:val="00F54FB4"/>
    <w:rsid w:val="00F60345"/>
    <w:rsid w:val="00F66FBB"/>
    <w:rsid w:val="00FC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24A2"/>
  <w15:chartTrackingRefBased/>
  <w15:docId w15:val="{761509FE-B95B-40AC-8BDE-86AC8470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A7D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qFormat/>
    <w:rsid w:val="00FC2F16"/>
    <w:pPr>
      <w:keepNext/>
      <w:framePr w:w="10440" w:hSpace="180" w:vSpace="180" w:wrap="auto" w:hAnchor="margin" w:yAlign="top"/>
      <w:ind w:left="1340"/>
      <w:jc w:val="right"/>
      <w:outlineLvl w:val="1"/>
    </w:pPr>
    <w:rPr>
      <w:rFonts w:ascii="New Century Schlbk" w:eastAsia="Times New Roman" w:hAnsi="New Century Schlbk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5A7D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E167AE"/>
    <w:pPr>
      <w:widowControl w:val="0"/>
      <w:autoSpaceDE w:val="0"/>
      <w:autoSpaceDN w:val="0"/>
      <w:adjustRightInd w:val="0"/>
      <w:ind w:left="1188"/>
    </w:pPr>
    <w:rPr>
      <w:rFonts w:ascii="Arial" w:eastAsiaTheme="minorEastAsia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E167AE"/>
    <w:rPr>
      <w:rFonts w:ascii="Arial" w:eastAsiaTheme="minorEastAsia" w:hAnsi="Arial" w:cs="Arial"/>
    </w:rPr>
  </w:style>
  <w:style w:type="character" w:customStyle="1" w:styleId="Heading2Char">
    <w:name w:val="Heading 2 Char"/>
    <w:basedOn w:val="DefaultParagraphFont"/>
    <w:link w:val="Heading2"/>
    <w:rsid w:val="00FC2F16"/>
    <w:rPr>
      <w:rFonts w:ascii="New Century Schlbk" w:eastAsia="Times New Roman" w:hAnsi="New Century Schlbk" w:cs="Times New Roman"/>
      <w:szCs w:val="24"/>
    </w:rPr>
  </w:style>
  <w:style w:type="paragraph" w:styleId="ListParagraph">
    <w:name w:val="List Paragraph"/>
    <w:basedOn w:val="Normal"/>
    <w:uiPriority w:val="34"/>
    <w:qFormat/>
    <w:rsid w:val="00376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Space, Steve</dc:creator>
  <cp:keywords/>
  <dc:description/>
  <cp:lastModifiedBy>Cottingham, Lindsey K</cp:lastModifiedBy>
  <cp:revision>2</cp:revision>
  <dcterms:created xsi:type="dcterms:W3CDTF">2018-10-19T13:36:00Z</dcterms:created>
  <dcterms:modified xsi:type="dcterms:W3CDTF">2018-10-19T13:36:00Z</dcterms:modified>
</cp:coreProperties>
</file>